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GoBack"/>
      <w:r>
        <w:rPr>
          <w:rFonts w:hint="eastAsia"/>
        </w:rPr>
        <w:t>附件1：</w:t>
      </w:r>
    </w:p>
    <w:p>
      <w:pPr>
        <w:pStyle w:val="5"/>
      </w:pPr>
      <w:r>
        <w:rPr>
          <w:rFonts w:hint="eastAsia"/>
        </w:rPr>
        <w:t>传媒与国际文化学院学术论文报告会</w:t>
      </w:r>
    </w:p>
    <w:p>
      <w:pPr>
        <w:pStyle w:val="5"/>
      </w:pPr>
      <w:r>
        <w:rPr>
          <w:rFonts w:hint="eastAsia"/>
        </w:rPr>
        <w:t>投稿论文撰写规范与要求</w:t>
      </w:r>
    </w:p>
    <w:bookmarkEnd w:id="0"/>
    <w:p>
      <w:pPr>
        <w:ind w:firstLine="720"/>
        <w:rPr>
          <w:rFonts w:ascii="仿宋" w:hAnsi="仿宋"/>
          <w:sz w:val="36"/>
          <w:szCs w:val="36"/>
        </w:rPr>
      </w:pPr>
    </w:p>
    <w:p>
      <w:pPr>
        <w:pStyle w:val="2"/>
      </w:pPr>
      <w:r>
        <w:rPr>
          <w:rFonts w:hint="eastAsia"/>
        </w:rPr>
        <w:t>一、基本结构</w:t>
      </w:r>
    </w:p>
    <w:p>
      <w:pPr>
        <w:ind w:firstLine="480"/>
        <w:rPr>
          <w:rFonts w:hint="eastAsia"/>
        </w:rPr>
      </w:pPr>
      <w:r>
        <w:rPr>
          <w:rFonts w:hint="eastAsia"/>
        </w:rPr>
        <w:t>投稿论文基本结构应包括标题、作者信息、摘要与关键字、正文、注释与参考文献。</w:t>
      </w:r>
    </w:p>
    <w:p>
      <w:pPr>
        <w:ind w:firstLine="480"/>
        <w:rPr>
          <w:rFonts w:hint="eastAsia"/>
        </w:rPr>
      </w:pPr>
    </w:p>
    <w:p>
      <w:pPr>
        <w:pStyle w:val="3"/>
      </w:pPr>
      <w:r>
        <w:rPr>
          <w:rFonts w:hint="eastAsia"/>
        </w:rPr>
        <w:t>二、各部撰写规范与要求</w:t>
      </w:r>
    </w:p>
    <w:p>
      <w:pPr>
        <w:pStyle w:val="3"/>
        <w:rPr>
          <w:rFonts w:hint="eastAsia"/>
        </w:rPr>
      </w:pPr>
      <w:r>
        <w:rPr>
          <w:rFonts w:hint="eastAsia"/>
        </w:rPr>
        <w:t>（一）标题</w:t>
      </w:r>
    </w:p>
    <w:p>
      <w:pPr>
        <w:ind w:firstLine="48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论文标题应准确概括整个论文的核心内容，简明扼要，一般不超过25个汉字；外文题目翻译应简短准确，一般不超过150个字母，必要时可以加副标题。</w:t>
      </w:r>
    </w:p>
    <w:p>
      <w:pPr>
        <w:ind w:firstLine="480"/>
        <w:rPr>
          <w:rFonts w:eastAsia="仿宋_GB2312" w:cs="Arial"/>
        </w:rPr>
      </w:pPr>
      <w:r>
        <w:rPr>
          <w:rFonts w:hint="eastAsia" w:eastAsia="仿宋_GB2312" w:cs="Arial"/>
        </w:rPr>
        <w:t>2</w:t>
      </w:r>
      <w:r>
        <w:rPr>
          <w:rFonts w:eastAsia="仿宋_GB2312" w:cs="Arial"/>
        </w:rPr>
        <w:t xml:space="preserve">. </w:t>
      </w:r>
      <w:r>
        <w:rPr>
          <w:rFonts w:hint="eastAsia" w:eastAsia="仿宋_GB2312" w:cs="Arial"/>
        </w:rPr>
        <w:t>编排格式：中文字体为仿宋，英文与阿拉伯数字字体为Times</w:t>
      </w:r>
      <w:r>
        <w:rPr>
          <w:rFonts w:eastAsia="仿宋_GB2312" w:cs="Arial"/>
        </w:rPr>
        <w:t xml:space="preserve"> N</w:t>
      </w:r>
      <w:r>
        <w:rPr>
          <w:rFonts w:hint="eastAsia" w:eastAsia="仿宋_GB2312" w:cs="Arial"/>
        </w:rPr>
        <w:t>ew</w:t>
      </w:r>
      <w:r>
        <w:rPr>
          <w:rFonts w:eastAsia="仿宋_GB2312" w:cs="Arial"/>
        </w:rPr>
        <w:t xml:space="preserve"> R</w:t>
      </w:r>
      <w:r>
        <w:rPr>
          <w:rFonts w:hint="eastAsia" w:eastAsia="仿宋_GB2312" w:cs="Arial"/>
        </w:rPr>
        <w:t>oman；小二号，加粗，1</w:t>
      </w:r>
      <w:r>
        <w:rPr>
          <w:rFonts w:eastAsia="仿宋_GB2312" w:cs="Arial"/>
        </w:rPr>
        <w:t>.5</w:t>
      </w:r>
      <w:r>
        <w:rPr>
          <w:rFonts w:hint="eastAsia" w:eastAsia="仿宋_GB2312" w:cs="Arial"/>
        </w:rPr>
        <w:t>倍行距（以下部分如无特别说明，均采用1</w:t>
      </w:r>
      <w:r>
        <w:rPr>
          <w:rFonts w:eastAsia="仿宋_GB2312" w:cs="Arial"/>
        </w:rPr>
        <w:t>.5</w:t>
      </w:r>
      <w:r>
        <w:rPr>
          <w:rFonts w:hint="eastAsia" w:eastAsia="仿宋_GB2312" w:cs="Arial"/>
        </w:rPr>
        <w:t>倍行距）；</w:t>
      </w:r>
    </w:p>
    <w:p>
      <w:pPr>
        <w:pStyle w:val="3"/>
      </w:pPr>
      <w:r>
        <w:rPr>
          <w:rFonts w:hint="eastAsia"/>
        </w:rPr>
        <w:t>（二）作者信息</w:t>
      </w:r>
    </w:p>
    <w:p>
      <w:pPr>
        <w:ind w:firstLine="48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作者信息应包括：姓名、学号、系所名称、年级与培养类型。</w:t>
      </w:r>
    </w:p>
    <w:p>
      <w:pPr>
        <w:ind w:firstLine="480"/>
      </w:pPr>
      <w:r>
        <w:t xml:space="preserve">2. </w:t>
      </w:r>
      <w:r>
        <w:rPr>
          <w:rFonts w:hint="eastAsia"/>
        </w:rPr>
        <w:t>编排格式：仿宋，小四号，居中对齐，各内容之间以半角空格分隔；</w:t>
      </w:r>
    </w:p>
    <w:p>
      <w:pPr>
        <w:pStyle w:val="3"/>
      </w:pPr>
      <w:r>
        <w:rPr>
          <w:rFonts w:hint="eastAsia"/>
        </w:rPr>
        <w:t>（三）摘要与关键字</w:t>
      </w:r>
    </w:p>
    <w:p>
      <w:pPr>
        <w:ind w:firstLine="480"/>
      </w:pPr>
      <w:r>
        <w:rPr>
          <w:rFonts w:hint="eastAsia"/>
        </w:rPr>
        <w:t>１. 包括中文摘要和外文摘要两部份。摘要是论文内容的总结概括，应简要说明论文的研究目的、基本研究内容、研究方法、创新性成果及其理论与实际意义，突出论文的创新之处。不宜使用公式、图表，不标注引用文献。摘要的字数一般为2</w:t>
      </w:r>
      <w:r>
        <w:t>00-300</w:t>
      </w:r>
      <w:r>
        <w:rPr>
          <w:rFonts w:hint="eastAsia"/>
        </w:rPr>
        <w:t>字。摘要最后另起一行,列出4—8个关键词。关键词应体现论文特色，具有语义性，在论文中有明确的出处。并应尽量采用《汉语主题词表》或各专业主题词表提供的规范词。外文摘要、关键字应与中文摘要、关键字相对应。</w:t>
      </w:r>
    </w:p>
    <w:p>
      <w:pPr>
        <w:ind w:firstLine="480"/>
        <w:rPr>
          <w:rFonts w:hint="eastAsia"/>
        </w:rPr>
      </w:pPr>
      <w:r>
        <w:t xml:space="preserve">2. </w:t>
      </w:r>
      <w:r>
        <w:rPr>
          <w:rFonts w:hint="eastAsia"/>
        </w:rPr>
        <w:t>编排格式：“摘要”二字为黑体，小四号；摘要内容另一起行，仿宋，小四号，首行缩进2字符；“关键字”三字为黑体，小四号；关键字内容另起一行，仿宋，小四号，首行缩进2字符；关键字之间以顿号“、”分隔。英文摘要、关键字为</w:t>
      </w:r>
      <w:r>
        <w:t>T</w:t>
      </w:r>
      <w:r>
        <w:rPr>
          <w:rFonts w:hint="eastAsia"/>
        </w:rPr>
        <w:t>imes</w:t>
      </w:r>
      <w:r>
        <w:t xml:space="preserve"> N</w:t>
      </w:r>
      <w:r>
        <w:rPr>
          <w:rFonts w:hint="eastAsia"/>
        </w:rPr>
        <w:t>ew</w:t>
      </w:r>
      <w:r>
        <w:t xml:space="preserve"> R</w:t>
      </w:r>
      <w:r>
        <w:rPr>
          <w:rFonts w:hint="eastAsia"/>
        </w:rPr>
        <w:t>oman，小四号，“Abstract”、“Keywords”加粗，关键字之间以半角逗号“,”分隔。</w:t>
      </w:r>
    </w:p>
    <w:p>
      <w:pPr>
        <w:pStyle w:val="3"/>
      </w:pPr>
      <w:r>
        <w:rPr>
          <w:rFonts w:hint="eastAsia"/>
        </w:rPr>
        <w:t>（四）正文</w:t>
      </w:r>
    </w:p>
    <w:p>
      <w:pPr>
        <w:ind w:firstLine="48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论文正文应层次分明、文字简炼、说明透彻、推理严谨、结论准确，避免使用文学性质的带感情色彩的非学术性词语。论文中如出现非通用性的新名词、新术语、新概念，应作相应解释。正文所用数据、图表应可靠规范。</w:t>
      </w:r>
    </w:p>
    <w:p>
      <w:pPr>
        <w:ind w:firstLine="480"/>
        <w:rPr>
          <w:rFonts w:hint="eastAsia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 w:ascii="仿宋_GB2312" w:hAnsi="宋体" w:eastAsia="仿宋_GB2312"/>
        </w:rPr>
        <w:t>论文章节按需分层，小标题一般为在三级以内</w:t>
      </w:r>
    </w:p>
    <w:p>
      <w:pPr>
        <w:ind w:firstLine="480"/>
        <w:rPr>
          <w:rFonts w:eastAsia="仿宋_GB2312" w:cs="Arial"/>
          <w:color w:val="333333"/>
        </w:rPr>
      </w:pPr>
      <w:r>
        <w:t xml:space="preserve">3. </w:t>
      </w:r>
      <w:r>
        <w:rPr>
          <w:rFonts w:hint="eastAsia"/>
        </w:rPr>
        <w:t>编排格式：正文字体为仿宋，小四号，首行缩进2字符；</w:t>
      </w:r>
      <w:r>
        <w:rPr>
          <w:rFonts w:eastAsia="仿宋_GB2312" w:cs="Arial"/>
          <w:color w:val="333333"/>
        </w:rPr>
        <w:t>一级</w:t>
      </w:r>
      <w:r>
        <w:rPr>
          <w:rFonts w:hint="eastAsia" w:eastAsia="仿宋_GB2312" w:cs="Arial"/>
          <w:color w:val="333333"/>
        </w:rPr>
        <w:t>小</w:t>
      </w:r>
      <w:r>
        <w:rPr>
          <w:rFonts w:eastAsia="仿宋_GB2312" w:cs="Arial"/>
          <w:color w:val="333333"/>
        </w:rPr>
        <w:t>标题表示为“一、……”，</w:t>
      </w:r>
      <w:r>
        <w:rPr>
          <w:rFonts w:hint="eastAsia" w:eastAsia="仿宋_GB2312" w:cs="Arial"/>
          <w:color w:val="333333"/>
        </w:rPr>
        <w:t>仿宋，小三号，加粗；</w:t>
      </w:r>
      <w:r>
        <w:rPr>
          <w:rFonts w:eastAsia="仿宋_GB2312" w:cs="Arial"/>
          <w:color w:val="333333"/>
        </w:rPr>
        <w:t>二级小标题为“（一）……”，</w:t>
      </w:r>
      <w:r>
        <w:rPr>
          <w:rFonts w:hint="eastAsia" w:eastAsia="仿宋_GB2312" w:cs="Arial"/>
          <w:color w:val="333333"/>
        </w:rPr>
        <w:t>仿宋，四号，加粗；</w:t>
      </w:r>
      <w:r>
        <w:rPr>
          <w:rFonts w:eastAsia="仿宋_GB2312" w:cs="Arial"/>
          <w:color w:val="333333"/>
        </w:rPr>
        <w:t>三级小标题为“1.……（阿拉伯数字序号后标点为“.”,而非“、”）”</w:t>
      </w:r>
      <w:r>
        <w:rPr>
          <w:rFonts w:hint="eastAsia" w:eastAsia="仿宋_GB2312" w:cs="Arial"/>
          <w:color w:val="333333"/>
        </w:rPr>
        <w:t>，仿宋，小四号，加粗。</w:t>
      </w:r>
    </w:p>
    <w:p>
      <w:pPr>
        <w:ind w:firstLine="480"/>
      </w:pPr>
      <w:r>
        <w:rPr>
          <w:rFonts w:hint="eastAsia"/>
        </w:rPr>
        <w:t>4</w:t>
      </w:r>
      <w:r>
        <w:t>. 正文中的引文（直接引述与间接引述）采用文中夹注形式，基本格式为“（作者，出版年代：页码）</w:t>
      </w:r>
      <w:r>
        <w:rPr>
          <w:rFonts w:hint="eastAsia"/>
        </w:rPr>
        <w:t>”</w:t>
      </w:r>
      <w:r>
        <w:t>，如</w:t>
      </w:r>
      <w:r>
        <w:rPr>
          <w:rFonts w:hint="eastAsia"/>
        </w:rPr>
        <w:t>“……</w:t>
      </w:r>
      <w:r>
        <w:t>（黄旦</w:t>
      </w:r>
      <w:r>
        <w:rPr>
          <w:rFonts w:hint="eastAsia"/>
        </w:rPr>
        <w:t>，</w:t>
      </w:r>
      <w:r>
        <w:t>2017）</w:t>
      </w:r>
      <w:r>
        <w:rPr>
          <w:rFonts w:hint="eastAsia"/>
        </w:rPr>
        <w:t>”</w:t>
      </w:r>
      <w:r>
        <w:t>或 “</w:t>
      </w:r>
      <w:r>
        <w:rPr>
          <w:rFonts w:hint="eastAsia"/>
        </w:rPr>
        <w:t>……（</w:t>
      </w:r>
      <w:r>
        <w:t>黄旦</w:t>
      </w:r>
      <w:r>
        <w:rPr>
          <w:rFonts w:hint="eastAsia"/>
        </w:rPr>
        <w:t>，</w:t>
      </w:r>
      <w:r>
        <w:t>2017：45</w:t>
      </w:r>
      <w:r>
        <w:rPr>
          <w:rFonts w:hint="eastAsia"/>
        </w:rPr>
        <w:t>）”</w:t>
      </w:r>
      <w:r>
        <w:t>。引文如为著作，夹注中务必交代具体的引用页码，但是文后的引用文献信息中不必交代页码；引文如为期刊，夹注中不必交代页码，但是文后的引用文献信息中务必交代发表期刊的页码范围。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eastAsia="仿宋_GB2312" w:cs="Arial"/>
          <w:color w:val="333333"/>
        </w:rPr>
      </w:pPr>
      <w:r>
        <w:rPr>
          <w:rFonts w:ascii="Times New Roman" w:hAnsi="Times New Roman" w:eastAsia="仿宋_GB2312" w:cs="Arial"/>
          <w:color w:val="333333"/>
        </w:rPr>
        <w:t>若引文等于或超过4行，则上下各空一行，独立成段，无需引号，</w:t>
      </w:r>
      <w:r>
        <w:rPr>
          <w:rFonts w:hint="eastAsia" w:ascii="Times New Roman" w:hAnsi="Times New Roman" w:eastAsia="仿宋_GB2312" w:cs="Arial"/>
          <w:color w:val="333333"/>
        </w:rPr>
        <w:t>楷体，小四</w:t>
      </w:r>
      <w:r>
        <w:rPr>
          <w:rFonts w:ascii="Times New Roman" w:hAnsi="Times New Roman" w:eastAsia="仿宋_GB2312" w:cs="Arial"/>
          <w:color w:val="333333"/>
        </w:rPr>
        <w:t>号</w:t>
      </w:r>
      <w:r>
        <w:rPr>
          <w:rFonts w:hint="eastAsia" w:ascii="Times New Roman" w:hAnsi="Times New Roman" w:eastAsia="仿宋_GB2312" w:cs="Arial"/>
          <w:color w:val="333333"/>
        </w:rPr>
        <w:t>，</w:t>
      </w:r>
      <w:r>
        <w:rPr>
          <w:rFonts w:ascii="Times New Roman" w:hAnsi="Times New Roman" w:eastAsia="仿宋_GB2312" w:cs="Arial"/>
          <w:color w:val="333333"/>
        </w:rPr>
        <w:t>悬挂缩进2字符，段首缩进</w:t>
      </w:r>
      <w:r>
        <w:rPr>
          <w:rFonts w:hint="eastAsia" w:ascii="Times New Roman" w:hAnsi="Times New Roman" w:eastAsia="仿宋_GB2312" w:cs="Arial"/>
          <w:color w:val="333333"/>
        </w:rPr>
        <w:t>2</w:t>
      </w:r>
      <w:r>
        <w:rPr>
          <w:rFonts w:ascii="Times New Roman" w:hAnsi="Times New Roman" w:eastAsia="仿宋_GB2312" w:cs="Arial"/>
          <w:color w:val="333333"/>
        </w:rPr>
        <w:t>字符，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eastAsia="仿宋_GB2312" w:cs="Arial"/>
          <w:color w:val="333333"/>
        </w:rPr>
      </w:pPr>
      <w:r>
        <w:rPr>
          <w:rFonts w:ascii="Times New Roman" w:hAnsi="Times New Roman" w:eastAsia="仿宋_GB2312" w:cs="Arial"/>
          <w:color w:val="333333"/>
        </w:rPr>
        <w:t>同一作者同一年的多个文献用a、b等区分，如（陈卫星，2016a）（陈卫星，2016b）。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eastAsia="仿宋_GB2312" w:cs="Arial"/>
          <w:color w:val="333333"/>
        </w:rPr>
      </w:pPr>
      <w:r>
        <w:rPr>
          <w:rFonts w:ascii="Times New Roman" w:hAnsi="Times New Roman" w:eastAsia="仿宋_GB2312" w:cs="Arial"/>
          <w:color w:val="333333"/>
        </w:rPr>
        <w:t>如引注为译作，夹注中需加上原出版年份，且原出版年份在前，译作年份在后，如</w:t>
      </w:r>
      <w:r>
        <w:rPr>
          <w:rFonts w:hint="eastAsia" w:ascii="Times New Roman" w:hAnsi="Times New Roman" w:eastAsia="仿宋_GB2312" w:cs="Arial"/>
          <w:color w:val="333333"/>
        </w:rPr>
        <w:t>（</w:t>
      </w:r>
      <w:r>
        <w:rPr>
          <w:rFonts w:ascii="Times New Roman" w:hAnsi="Times New Roman" w:eastAsia="仿宋_GB2312" w:cs="Arial"/>
          <w:color w:val="333333"/>
        </w:rPr>
        <w:t>利奥塔尔</w:t>
      </w:r>
      <w:r>
        <w:rPr>
          <w:rFonts w:hint="eastAsia" w:ascii="Times New Roman" w:hAnsi="Times New Roman" w:eastAsia="仿宋_GB2312" w:cs="Arial"/>
          <w:color w:val="333333"/>
        </w:rPr>
        <w:t>，</w:t>
      </w:r>
      <w:r>
        <w:rPr>
          <w:rFonts w:ascii="Times New Roman" w:hAnsi="Times New Roman" w:eastAsia="仿宋_GB2312" w:cs="Arial"/>
          <w:color w:val="333333"/>
        </w:rPr>
        <w:t>1979/1997</w:t>
      </w:r>
      <w:r>
        <w:rPr>
          <w:rFonts w:hint="eastAsia" w:ascii="Times New Roman" w:hAnsi="Times New Roman" w:eastAsia="仿宋_GB2312" w:cs="Arial"/>
          <w:color w:val="333333"/>
        </w:rPr>
        <w:t>）。</w:t>
      </w:r>
    </w:p>
    <w:p>
      <w:pPr>
        <w:ind w:firstLine="480"/>
        <w:rPr>
          <w:rFonts w:hint="eastAsia" w:eastAsia="仿宋_GB2312" w:cs="Arial"/>
          <w:color w:val="333333"/>
        </w:rPr>
      </w:pPr>
      <w:r>
        <w:rPr>
          <w:rFonts w:eastAsia="仿宋_GB2312" w:cs="Arial"/>
          <w:color w:val="333333"/>
        </w:rPr>
        <w:t>如引文作者超过六位，可只标注第一作者，其姓名后标注“等”（英文用“et al.”）。</w:t>
      </w:r>
    </w:p>
    <w:p>
      <w:pPr>
        <w:pStyle w:val="3"/>
      </w:pPr>
      <w:r>
        <w:rPr>
          <w:rFonts w:hint="eastAsia"/>
        </w:rPr>
        <w:t>（五）注释与参考文献</w:t>
      </w:r>
    </w:p>
    <w:p>
      <w:pPr>
        <w:ind w:firstLine="48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注释放在文末，全部顶格，在文中需要说明的文字处插入标注（依次上标阿拉伯数字序号1），文章末尾序号1对应的文字即为该处注释的内容。</w:t>
      </w:r>
    </w:p>
    <w:p>
      <w:pPr>
        <w:ind w:firstLine="480"/>
        <w:rPr>
          <w:rFonts w:eastAsia="仿宋_GB2312" w:cs="Arial"/>
          <w:color w:val="333333"/>
        </w:rPr>
      </w:pPr>
      <w:r>
        <w:rPr>
          <w:rFonts w:hint="eastAsia"/>
        </w:rPr>
        <w:t>2</w:t>
      </w:r>
      <w:r>
        <w:t>. 参考文献指按顺序列出正文和注释曾参考的文献，不同语言文献排序为：</w:t>
      </w:r>
      <w:r>
        <w:rPr>
          <w:rFonts w:eastAsia="仿宋_GB2312" w:cs="Arial"/>
          <w:color w:val="333333"/>
        </w:rPr>
        <w:t>中文文献（包含外文文献中文版）在前、外文文献在后。中文和外文文献作者均以姓氏拼音字母为序（作者不详或机构作者时，以其英译首字母排序）。如果是报刊上的文章，没有具体作者，可以用报刊名称作为作者</w:t>
      </w:r>
      <w:r>
        <w:rPr>
          <w:rFonts w:hint="eastAsia" w:eastAsia="仿宋_GB2312" w:cs="Arial"/>
          <w:color w:val="333333"/>
        </w:rPr>
        <w:t>。</w:t>
      </w:r>
      <w:r>
        <w:rPr>
          <w:rFonts w:eastAsia="仿宋_GB2312" w:cs="Arial"/>
          <w:color w:val="333333"/>
        </w:rPr>
        <w:t>同一作者的文献，按出版年份先后顺序排列。</w:t>
      </w:r>
    </w:p>
    <w:p>
      <w:pPr>
        <w:ind w:firstLine="480"/>
        <w:rPr>
          <w:rFonts w:hint="eastAsia"/>
        </w:rPr>
      </w:pPr>
      <w:r>
        <w:rPr>
          <w:rFonts w:eastAsia="仿宋_GB2312" w:cs="Arial"/>
          <w:color w:val="333333"/>
        </w:rPr>
        <w:t xml:space="preserve">3. </w:t>
      </w:r>
      <w:r>
        <w:rPr>
          <w:rFonts w:hint="eastAsia" w:eastAsia="仿宋_GB2312" w:cs="Arial"/>
          <w:color w:val="333333"/>
        </w:rPr>
        <w:t>注释格式：“注释”黑体，小四号，加粗，居中对齐；注释内容为宋体，五号字，单倍行距。</w:t>
      </w:r>
      <w:r>
        <w:rPr>
          <w:rFonts w:hint="eastAsia"/>
        </w:rPr>
        <w:t xml:space="preserve"> </w:t>
      </w:r>
    </w:p>
    <w:p>
      <w:pPr>
        <w:ind w:firstLine="480"/>
        <w:rPr>
          <w:rFonts w:eastAsia="仿宋_GB2312" w:cs="Arial"/>
          <w:color w:val="333333"/>
        </w:rPr>
      </w:pPr>
      <w:r>
        <w:t xml:space="preserve">4. </w:t>
      </w:r>
      <w:r>
        <w:rPr>
          <w:rFonts w:hint="eastAsia"/>
        </w:rPr>
        <w:t>参考文献格式：“参考文献”</w:t>
      </w:r>
      <w:r>
        <w:rPr>
          <w:rFonts w:hint="eastAsia" w:eastAsia="仿宋_GB2312" w:cs="Arial"/>
          <w:color w:val="333333"/>
        </w:rPr>
        <w:t>黑体，小四号，加粗，居中对齐；参考文献内容为</w:t>
      </w:r>
      <w:r>
        <w:rPr>
          <w:rFonts w:hint="eastAsia"/>
        </w:rPr>
        <w:t>宋体，五号，单倍行距；</w:t>
      </w:r>
      <w:r>
        <w:rPr>
          <w:rFonts w:eastAsia="仿宋_GB2312" w:cs="Arial"/>
          <w:color w:val="333333"/>
        </w:rPr>
        <w:t>如超过一行，从第二行开始悬挂缩进</w:t>
      </w:r>
      <w:r>
        <w:rPr>
          <w:rFonts w:hint="eastAsia" w:eastAsia="仿宋_GB2312" w:cs="Arial"/>
          <w:color w:val="333333"/>
        </w:rPr>
        <w:t>2</w:t>
      </w:r>
      <w:r>
        <w:rPr>
          <w:rFonts w:eastAsia="仿宋_GB2312" w:cs="Arial"/>
          <w:color w:val="333333"/>
        </w:rPr>
        <w:t>字符</w:t>
      </w:r>
      <w:r>
        <w:rPr>
          <w:rFonts w:hint="eastAsia" w:eastAsia="仿宋_GB2312" w:cs="Arial"/>
          <w:color w:val="333333"/>
        </w:rPr>
        <w:t>。不同类型的参考文件写法见格式范例。</w:t>
      </w:r>
    </w:p>
    <w:p>
      <w:pPr>
        <w:ind w:firstLine="480"/>
        <w:rPr>
          <w:rFonts w:eastAsia="仿宋_GB2312" w:cs="Arial"/>
          <w:color w:val="333333"/>
        </w:rPr>
      </w:pPr>
    </w:p>
    <w:p>
      <w:pPr>
        <w:ind w:firstLine="0" w:firstLineChars="0"/>
        <w:rPr>
          <w:rFonts w:hint="eastAsia" w:eastAsia="仿宋_GB2312" w:cs="Arial"/>
          <w:b/>
          <w:bCs/>
          <w:color w:val="333333"/>
        </w:rPr>
      </w:pPr>
      <w:r>
        <w:rPr>
          <w:rFonts w:hint="eastAsia" w:eastAsia="仿宋_GB2312" w:cs="Arial"/>
          <w:b/>
          <w:bCs/>
          <w:color w:val="333333"/>
        </w:rPr>
        <w:t>　　*说明：本文件关于标题、</w:t>
      </w:r>
      <w:r>
        <w:rPr>
          <w:rFonts w:hint="eastAsia"/>
          <w:b/>
          <w:bCs/>
        </w:rPr>
        <w:t>摘要与关键字、</w:t>
      </w:r>
      <w:r>
        <w:rPr>
          <w:rFonts w:hint="eastAsia" w:eastAsia="仿宋_GB2312" w:cs="Arial"/>
          <w:b/>
          <w:bCs/>
          <w:color w:val="333333"/>
        </w:rPr>
        <w:t>正文等部的编排要求参考了《浙江大学研究生学位论文编写规则》，关于注释与参考文献的编排要求参考了《国际新闻界》格式规范。</w:t>
      </w:r>
    </w:p>
    <w:p>
      <w:pPr>
        <w:widowControl/>
        <w:spacing w:line="240" w:lineRule="auto"/>
        <w:ind w:firstLine="0" w:firstLineChars="0"/>
        <w:jc w:val="left"/>
        <w:rPr>
          <w:rFonts w:eastAsia="仿宋_GB2312" w:cs="Arial"/>
          <w:color w:val="333333"/>
        </w:rPr>
      </w:pPr>
      <w:r>
        <w:rPr>
          <w:rFonts w:eastAsia="仿宋_GB2312" w:cs="Arial"/>
          <w:color w:val="333333"/>
        </w:rPr>
        <w:br w:type="page"/>
      </w:r>
    </w:p>
    <w:p>
      <w:pPr>
        <w:pStyle w:val="3"/>
      </w:pPr>
      <w:r>
        <w:rPr>
          <w:rFonts w:hint="eastAsia"/>
        </w:rPr>
        <w:t>格式范例：</w:t>
      </w:r>
    </w:p>
    <w:p>
      <w:pPr>
        <w:pStyle w:val="5"/>
      </w:pPr>
      <w:r>
        <w:rPr>
          <w:rFonts w:hint="eastAsia"/>
        </w:rPr>
        <w:t>论文标题</w:t>
      </w:r>
    </w:p>
    <w:p>
      <w:pPr>
        <w:ind w:firstLine="480"/>
      </w:pPr>
    </w:p>
    <w:p>
      <w:pPr>
        <w:ind w:firstLine="0" w:firstLineChars="0"/>
        <w:jc w:val="center"/>
      </w:pPr>
      <w:r>
        <w:rPr>
          <w:rFonts w:hint="eastAsia"/>
        </w:rPr>
        <w:t>传小媒 1</w:t>
      </w:r>
      <w:r>
        <w:t>2345678</w:t>
      </w:r>
      <w:r>
        <w:rPr>
          <w:rFonts w:hint="eastAsia"/>
        </w:rPr>
        <w:t xml:space="preserve"> 传播研究所2</w:t>
      </w:r>
      <w:r>
        <w:t>023</w:t>
      </w:r>
      <w:r>
        <w:rPr>
          <w:rFonts w:hint="eastAsia"/>
        </w:rPr>
        <w:t>级博士生</w:t>
      </w:r>
    </w:p>
    <w:p>
      <w:pPr>
        <w:ind w:firstLine="480"/>
      </w:pPr>
    </w:p>
    <w:p>
      <w:pPr>
        <w:ind w:firstLine="0" w:firstLineChars="0"/>
      </w:pPr>
      <w:r>
        <w:rPr>
          <w:rFonts w:hint="eastAsia" w:ascii="黑体" w:hAnsi="黑体" w:eastAsia="黑体"/>
        </w:rPr>
        <w:t>摘要</w:t>
      </w:r>
      <w:r>
        <w:rPr>
          <w:rFonts w:hint="eastAsia"/>
        </w:rPr>
        <w:t xml:space="preserve"> </w:t>
      </w:r>
    </w:p>
    <w:p>
      <w:pPr>
        <w:ind w:firstLine="480"/>
      </w:pPr>
      <w:r>
        <w:rPr>
          <w:rFonts w:hint="eastAsia"/>
        </w:rPr>
        <w:t>论文摘要</w:t>
      </w:r>
    </w:p>
    <w:p>
      <w:pPr>
        <w:ind w:firstLine="0" w:firstLineChars="0"/>
      </w:pPr>
      <w:r>
        <w:rPr>
          <w:rFonts w:hint="eastAsia" w:ascii="黑体" w:hAnsi="黑体" w:eastAsia="黑体"/>
        </w:rPr>
        <w:t>关键字</w:t>
      </w:r>
    </w:p>
    <w:p>
      <w:pPr>
        <w:ind w:firstLine="480"/>
      </w:pPr>
      <w:r>
        <w:rPr>
          <w:rFonts w:hint="eastAsia"/>
        </w:rPr>
        <w:t>关键字1、关键字2、关键字3</w:t>
      </w:r>
    </w:p>
    <w:p>
      <w:pPr>
        <w:ind w:firstLine="480"/>
      </w:pPr>
    </w:p>
    <w:p>
      <w:pPr>
        <w:pStyle w:val="5"/>
      </w:pPr>
      <w:r>
        <w:t>T</w:t>
      </w:r>
      <w:r>
        <w:rPr>
          <w:rFonts w:hint="eastAsia"/>
        </w:rPr>
        <w:t>itle</w:t>
      </w:r>
    </w:p>
    <w:p>
      <w:pPr>
        <w:ind w:firstLine="0" w:firstLineChars="0"/>
        <w:rPr>
          <w:b/>
          <w:bCs/>
        </w:rPr>
      </w:pPr>
      <w:r>
        <w:rPr>
          <w:b/>
          <w:bCs/>
        </w:rPr>
        <w:t>A</w:t>
      </w:r>
      <w:r>
        <w:rPr>
          <w:rFonts w:hint="eastAsia"/>
          <w:b/>
          <w:bCs/>
        </w:rPr>
        <w:t>bstract</w:t>
      </w:r>
    </w:p>
    <w:p>
      <w:pPr>
        <w:ind w:firstLine="480"/>
        <w:rPr>
          <w:rFonts w:hint="eastAsia"/>
        </w:rPr>
      </w:pPr>
      <w:r>
        <w:t>A</w:t>
      </w:r>
      <w:r>
        <w:rPr>
          <w:rFonts w:hint="eastAsia"/>
        </w:rPr>
        <w:t>bstract</w:t>
      </w:r>
    </w:p>
    <w:p>
      <w:pPr>
        <w:ind w:firstLine="0" w:firstLineChars="0"/>
        <w:rPr>
          <w:b/>
          <w:bCs/>
        </w:rPr>
      </w:pPr>
      <w:r>
        <w:rPr>
          <w:b/>
          <w:bCs/>
        </w:rPr>
        <w:t>K</w:t>
      </w:r>
      <w:r>
        <w:rPr>
          <w:rFonts w:hint="eastAsia"/>
          <w:b/>
          <w:bCs/>
        </w:rPr>
        <w:t>eywords</w:t>
      </w:r>
    </w:p>
    <w:p>
      <w:pPr>
        <w:ind w:firstLine="480"/>
      </w:pPr>
      <w:r>
        <w:rPr>
          <w:rFonts w:hint="eastAsia"/>
        </w:rPr>
        <w:t>Keywor</w:t>
      </w:r>
      <w:r>
        <w:t>ds 1</w:t>
      </w:r>
      <w:r>
        <w:rPr>
          <w:rFonts w:hint="eastAsia"/>
        </w:rPr>
        <w:t>,</w:t>
      </w:r>
      <w:r>
        <w:t xml:space="preserve"> Keywords 2, Keyword</w:t>
      </w:r>
      <w:r>
        <w:rPr>
          <w:rFonts w:hint="eastAsia"/>
        </w:rPr>
        <w:t>s</w:t>
      </w:r>
      <w:r>
        <w:t xml:space="preserve"> 3</w:t>
      </w:r>
    </w:p>
    <w:p>
      <w:pPr>
        <w:ind w:firstLine="480"/>
      </w:pPr>
    </w:p>
    <w:p>
      <w:pPr>
        <w:pStyle w:val="2"/>
      </w:pPr>
      <w:r>
        <w:rPr>
          <w:rFonts w:hint="eastAsia"/>
        </w:rPr>
        <w:t>一、第一章标题</w:t>
      </w:r>
    </w:p>
    <w:p>
      <w:pPr>
        <w:pStyle w:val="3"/>
      </w:pPr>
      <w:r>
        <w:rPr>
          <w:rFonts w:hint="eastAsia"/>
        </w:rPr>
        <w:t>（一）第一章第一节</w:t>
      </w:r>
    </w:p>
    <w:p>
      <w:pPr>
        <w:ind w:firstLine="0" w:firstLineChars="0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第一章第一节第一小节</w:t>
      </w:r>
    </w:p>
    <w:p>
      <w:pPr>
        <w:ind w:firstLine="480"/>
        <w:rPr>
          <w:rFonts w:hint="eastAsia"/>
        </w:rPr>
      </w:pPr>
      <w:r>
        <w:rPr>
          <w:rFonts w:hint="eastAsia"/>
        </w:rPr>
        <w:t>正文内容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第一章第一节第二小节</w:t>
      </w:r>
    </w:p>
    <w:p>
      <w:pPr>
        <w:ind w:firstLine="480"/>
      </w:pPr>
      <w:r>
        <w:rPr>
          <w:rFonts w:hint="eastAsia"/>
        </w:rPr>
        <w:t>正文内容</w:t>
      </w:r>
    </w:p>
    <w:p>
      <w:pPr>
        <w:pStyle w:val="2"/>
      </w:pPr>
      <w:r>
        <w:rPr>
          <w:rFonts w:hint="eastAsia"/>
        </w:rPr>
        <w:t>二、第二章标题</w:t>
      </w:r>
    </w:p>
    <w:p>
      <w:pPr>
        <w:ind w:firstLine="480"/>
      </w:pPr>
      <w:r>
        <w:rPr>
          <w:rFonts w:hint="eastAsia"/>
        </w:rPr>
        <w:t>正文内容</w:t>
      </w:r>
    </w:p>
    <w:p>
      <w:pPr>
        <w:pStyle w:val="2"/>
      </w:pPr>
      <w:r>
        <w:rPr>
          <w:rFonts w:hint="eastAsia"/>
        </w:rPr>
        <w:t>三、第三章标题</w:t>
      </w:r>
    </w:p>
    <w:p>
      <w:pPr>
        <w:ind w:firstLine="480"/>
        <w:rPr>
          <w:rFonts w:hint="eastAsia"/>
        </w:rPr>
      </w:pPr>
      <w:r>
        <w:rPr>
          <w:rFonts w:hint="eastAsia"/>
        </w:rPr>
        <w:t>正文内容</w:t>
      </w:r>
    </w:p>
    <w:p>
      <w:pPr>
        <w:pStyle w:val="2"/>
      </w:pPr>
      <w:r>
        <w:rPr>
          <w:rFonts w:hint="eastAsia"/>
        </w:rPr>
        <w:t>四、结论</w:t>
      </w:r>
    </w:p>
    <w:p>
      <w:pPr>
        <w:ind w:firstLine="480"/>
      </w:pPr>
      <w:r>
        <w:rPr>
          <w:rFonts w:hint="eastAsia"/>
        </w:rPr>
        <w:t>结论内容</w:t>
      </w:r>
    </w:p>
    <w:p>
      <w:pPr>
        <w:ind w:firstLine="480"/>
        <w:rPr>
          <w:rFonts w:hint="eastAsia"/>
        </w:rPr>
      </w:pPr>
    </w:p>
    <w:p>
      <w:pPr>
        <w:pStyle w:val="2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注释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1</w:t>
      </w:r>
      <w:r>
        <w:rPr>
          <w:rFonts w:ascii="Times New Roman" w:hAnsi="Times New Roman" w:cs="Arial"/>
          <w:color w:val="333333"/>
          <w:sz w:val="21"/>
        </w:rPr>
        <w:t xml:space="preserve">. </w:t>
      </w:r>
      <w:r>
        <w:rPr>
          <w:rFonts w:hint="eastAsia" w:ascii="Times New Roman" w:hAnsi="Times New Roman" w:cs="Arial"/>
          <w:color w:val="333333"/>
          <w:sz w:val="21"/>
        </w:rPr>
        <w:t>注释内容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2</w:t>
      </w:r>
      <w:r>
        <w:rPr>
          <w:rFonts w:ascii="Times New Roman" w:hAnsi="Times New Roman" w:cs="Arial"/>
          <w:color w:val="333333"/>
          <w:sz w:val="21"/>
        </w:rPr>
        <w:t xml:space="preserve">. </w:t>
      </w:r>
      <w:r>
        <w:rPr>
          <w:rFonts w:hint="eastAsia" w:ascii="Times New Roman" w:hAnsi="Times New Roman" w:cs="Arial"/>
          <w:color w:val="333333"/>
          <w:sz w:val="21"/>
        </w:rPr>
        <w:t>注释内容</w:t>
      </w:r>
    </w:p>
    <w:p>
      <w:pPr>
        <w:ind w:firstLine="0" w:firstLineChars="0"/>
      </w:pPr>
    </w:p>
    <w:p>
      <w:pPr>
        <w:pStyle w:val="2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参考文献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期刊论文</w:t>
      </w:r>
      <w:r>
        <w:rPr>
          <w:rFonts w:hint="eastAsia" w:ascii="Times New Roman" w:hAnsi="Times New Roman" w:cs="Arial"/>
          <w:color w:val="333333"/>
          <w:sz w:val="21"/>
        </w:rPr>
        <w:t>】</w:t>
      </w:r>
      <w:r>
        <w:rPr>
          <w:rFonts w:ascii="Times New Roman" w:hAnsi="Times New Roman" w:cs="Arial"/>
          <w:color w:val="333333"/>
          <w:sz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黄旦（2015）。新报刊（媒介）史书写：范式的变更。《新闻与传播研究》，（12），5-19。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杨国斌（2017）。情之殇：网络情感动员的文明进程。《传播与社会学刊》（香港），（40），75-104。（境外中文期刊文章中附小括号注明出版地。）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 McCombs, M. E. &amp; Shaw, D. L. (1972). The agenda setting function of the mass media. Public Opinion Quarterly, 36 (2), 176-187. （英文期刊的卷号用斜体）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 </w:t>
      </w: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会议论文</w:t>
      </w:r>
      <w:r>
        <w:rPr>
          <w:rFonts w:hint="eastAsia" w:ascii="Times New Roman" w:hAnsi="Times New Roman" w:cs="Arial"/>
          <w:color w:val="333333"/>
          <w:sz w:val="21"/>
        </w:rPr>
        <w:t>】</w:t>
      </w:r>
      <w:r>
        <w:rPr>
          <w:rFonts w:ascii="Times New Roman" w:hAnsi="Times New Roman" w:cs="Arial"/>
          <w:color w:val="333333"/>
          <w:sz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黄旦（2014年7月）。在“书”与“刊”之间：发明中国现代报刊。“全球化时代中西方媒体文化比较研究”会议论文。北京。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Peters, J. D. (2011, March). Two cheers for technological determinism. Paper presented at Conference on Media Histories: Epistemology, Materiality, Temporality. New York.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书籍</w:t>
      </w:r>
      <w:r>
        <w:rPr>
          <w:rFonts w:hint="eastAsia" w:ascii="Times New Roman" w:hAnsi="Times New Roman" w:cs="Arial"/>
          <w:color w:val="333333"/>
          <w:sz w:val="21"/>
        </w:rPr>
        <w:t>】</w:t>
      </w:r>
      <w:r>
        <w:rPr>
          <w:rFonts w:ascii="Times New Roman" w:hAnsi="Times New Roman" w:cs="Arial"/>
          <w:color w:val="333333"/>
          <w:sz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陈卫星（2004）。《传播的观念》。北京：人民出版社。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Silverstone, R. (1994). Television and everyday life. London, UK: Routledge. （英文著作中，英文著作中，美国出版地要列出城市名与州名缩写，美国以外的地区要注明城市名与国名缩写）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奥平康弘（1997）。《ジャ</w:t>
      </w:r>
      <w:r>
        <w:rPr>
          <w:rFonts w:hint="eastAsia" w:ascii="Times New Roman" w:hAnsi="Times New Roman" w:cs="Arial"/>
          <w:color w:val="333333"/>
          <w:sz w:val="21"/>
        </w:rPr>
        <w:t>ーナリズムと法》。东京：新世社。（非英文的外文著作样式，直接使用原文字。</w:t>
      </w:r>
      <w:r>
        <w:rPr>
          <w:rFonts w:ascii="Times New Roman" w:hAnsi="Times New Roman" w:cs="Arial"/>
          <w:color w:val="333333"/>
          <w:sz w:val="21"/>
        </w:rPr>
        <w:t>)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书籍章节</w:t>
      </w:r>
      <w:r>
        <w:rPr>
          <w:rFonts w:hint="eastAsia" w:ascii="Times New Roman" w:hAnsi="Times New Roman" w:cs="Arial"/>
          <w:color w:val="333333"/>
          <w:sz w:val="21"/>
        </w:rPr>
        <w:t>】</w:t>
      </w:r>
      <w:r>
        <w:rPr>
          <w:rFonts w:ascii="Times New Roman" w:hAnsi="Times New Roman" w:cs="Arial"/>
          <w:color w:val="333333"/>
          <w:sz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张咏，李金铨（2008）。密苏里新闻教育模式在现代中国的移植——兼论帝国使命：美国实用主义与中国现代化。载李金铨（主编），《文人论政——知识分子与报刊》（第281-309页）。桂林：广西师范大学出版社。（特别注意：引用书籍章节时，须析出文章页码）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Carey, J. W. (1999). Innis “in” Chicago: hope as the sire of discovery. In Acland, C. R. &amp; Buxton, W. J. (Eds.). Harold Innis in the new century: Reflections and refractions (pp. 81-104). Montreal, CA: McGill-Queen’s University Press.（特别注意：引用书籍章节时，须析出文章页码）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hint="eastAsia"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Szablewicz, M. (2015). The “losers” of China’s Internet: memes as “structure of feeling” for disillusioned young netizens. In Yang, G. (Ed.). China Contested Internet(pp.168-191). Copenhagen K, DK: NIAS Press.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编著 </w:t>
      </w:r>
      <w:r>
        <w:rPr>
          <w:rFonts w:hint="eastAsia" w:ascii="Times New Roman" w:hAnsi="Times New Roman" w:cs="Arial"/>
          <w:color w:val="333333"/>
          <w:sz w:val="21"/>
        </w:rPr>
        <w:t>】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李金铨（主编）（2008）。《文人论政——知识分子与报刊》。桂林：广西师范大学出版社。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Acland, C. R. &amp; Buxton, W. J. (Eds.). Harold Innis in the new century: Reflections and refractions . Montreal, CA: McGill-Queen’s University Press.（六位以上作者的文献，只保留第一位作者姓名,后面标注“等”，英译为“et al.”；六位及六位以下作者要标注全部作者姓名。）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译著 </w:t>
      </w:r>
      <w:r>
        <w:rPr>
          <w:rFonts w:hint="eastAsia" w:ascii="Times New Roman" w:hAnsi="Times New Roman" w:cs="Arial"/>
          <w:color w:val="333333"/>
          <w:sz w:val="21"/>
        </w:rPr>
        <w:t>】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丹尼斯·麦奎尔，斯文·温德尔（1982/2008）。《大众传播模式论》（祝建华译）（第2版）。上海：上海译文出版社。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Nora, P. (1893/1996). Realms of memory: Conflicts and divisions (vol.1). (Goldhammer, A. Trans.). New York, NY: Columbia University Press.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学位论文</w:t>
      </w:r>
      <w:r>
        <w:rPr>
          <w:rFonts w:hint="eastAsia" w:ascii="Times New Roman" w:hAnsi="Times New Roman" w:cs="Arial"/>
          <w:color w:val="333333"/>
          <w:sz w:val="21"/>
        </w:rPr>
        <w:t>】</w:t>
      </w:r>
      <w:r>
        <w:rPr>
          <w:rFonts w:ascii="Times New Roman" w:hAnsi="Times New Roman" w:cs="Arial"/>
          <w:color w:val="333333"/>
          <w:sz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王维佳（2009）。《作为劳动的传播：我国新闻工作者的劳动状况研究》。北京大学新闻与传播学院博士论文。北京。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Peters, B. (2010). From Cybernetics to CyberNetworks: Norbert Wiener, the Soviet Internet, and the Cold War Dawn ofInformation Universalism. PhD dissertation, Columbia University, New York.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报纸</w:t>
      </w:r>
      <w:r>
        <w:rPr>
          <w:rFonts w:hint="eastAsia" w:ascii="Times New Roman" w:hAnsi="Times New Roman" w:cs="Arial"/>
          <w:color w:val="333333"/>
          <w:sz w:val="21"/>
        </w:rPr>
        <w:t>】</w:t>
      </w:r>
      <w:r>
        <w:rPr>
          <w:rFonts w:ascii="Times New Roman" w:hAnsi="Times New Roman" w:cs="Arial"/>
          <w:color w:val="333333"/>
          <w:sz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李松（2012 年 01 月 10 日）。乌坎事件折射出什么？《人民日报》，A17。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南方周末（2008年3月8日）。公民新闻与新闻专业主义。《南方周末》，B17。（报纸文章样式。若无个人作者，可用报刊名称代替。）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Ronson, J. (2015). How one stupid tweet blew up Justine Sacco’s life. New York Times, A12.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杂志</w:t>
      </w:r>
      <w:r>
        <w:rPr>
          <w:rFonts w:hint="eastAsia" w:ascii="Times New Roman" w:hAnsi="Times New Roman" w:cs="Arial"/>
          <w:color w:val="333333"/>
          <w:sz w:val="21"/>
        </w:rPr>
        <w:t>】</w:t>
      </w:r>
      <w:r>
        <w:rPr>
          <w:rFonts w:ascii="Times New Roman" w:hAnsi="Times New Roman" w:cs="Arial"/>
          <w:color w:val="333333"/>
          <w:sz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吕新雨（2006）。《仪式、电视与意识形态》。《读书》，（8），121-130。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The Economist (2017, November. Traffcking women: Fear on the border. The Economist, (4), 29-30.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hint="eastAsia" w:ascii="Times New Roman" w:hAnsi="Times New Roman" w:cs="Arial"/>
          <w:color w:val="333333"/>
          <w:sz w:val="21"/>
        </w:rPr>
        <w:t>【</w:t>
      </w:r>
      <w:r>
        <w:rPr>
          <w:rFonts w:ascii="Times New Roman" w:hAnsi="Times New Roman" w:cs="Arial"/>
          <w:color w:val="333333"/>
          <w:sz w:val="21"/>
        </w:rPr>
        <w:t>网络材料</w:t>
      </w:r>
      <w:r>
        <w:rPr>
          <w:rFonts w:hint="eastAsia" w:ascii="Times New Roman" w:hAnsi="Times New Roman" w:cs="Arial"/>
          <w:color w:val="333333"/>
          <w:sz w:val="21"/>
        </w:rPr>
        <w:t>】</w:t>
      </w:r>
      <w:r>
        <w:rPr>
          <w:rFonts w:ascii="Times New Roman" w:hAnsi="Times New Roman" w:cs="Arial"/>
          <w:color w:val="333333"/>
          <w:sz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Edelman（2015）。《中国企业信任度下滑,仍缺乏诚信和互动参与度》。检索于 http://www.edelmangro up.cn/newsDetail34.html.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中国的新闻业与社会转型（时间不详）。检索于http://www.abcd.com.cn.（网络文献或资料无确切作者、时间时，正文夹注中用文献名第一个词汇“中国”表示作者，引用文献中用文献名表示作者；时间用“时间不详”表示。) </w:t>
      </w:r>
    </w:p>
    <w:p>
      <w:pPr>
        <w:pStyle w:val="4"/>
        <w:shd w:val="clear" w:color="auto" w:fill="FFFFFF"/>
        <w:spacing w:before="0" w:beforeAutospacing="0" w:after="0" w:afterAutospacing="0"/>
        <w:ind w:left="420" w:hanging="420" w:hangingChars="200"/>
        <w:jc w:val="both"/>
        <w:rPr>
          <w:rFonts w:ascii="Times New Roman" w:hAnsi="Times New Roman" w:cs="Arial"/>
          <w:color w:val="333333"/>
          <w:sz w:val="21"/>
        </w:rPr>
      </w:pPr>
      <w:r>
        <w:rPr>
          <w:rFonts w:ascii="Times New Roman" w:hAnsi="Times New Roman" w:cs="Arial"/>
          <w:color w:val="333333"/>
          <w:sz w:val="21"/>
        </w:rPr>
        <w:t>Roberts, M, E. (2014). Fear or friction? How censorship slows the spread of information in the digital age. Retrieved from http://scholar.harvard.edu/files/mroberts/files/fearfriction_0.pdf. </w:t>
      </w:r>
    </w:p>
    <w:p>
      <w:pPr>
        <w:ind w:firstLine="0" w:firstLineChars="0"/>
      </w:pPr>
    </w:p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AC"/>
    <w:rsid w:val="000F7E36"/>
    <w:rsid w:val="00100264"/>
    <w:rsid w:val="001A6857"/>
    <w:rsid w:val="001E6016"/>
    <w:rsid w:val="0023572C"/>
    <w:rsid w:val="002F1B69"/>
    <w:rsid w:val="00343FF5"/>
    <w:rsid w:val="00361FAC"/>
    <w:rsid w:val="003D79AB"/>
    <w:rsid w:val="00441A4E"/>
    <w:rsid w:val="004C12F0"/>
    <w:rsid w:val="005639F2"/>
    <w:rsid w:val="00792B15"/>
    <w:rsid w:val="007B7FB2"/>
    <w:rsid w:val="00AE2614"/>
    <w:rsid w:val="00B50087"/>
    <w:rsid w:val="00C503AF"/>
    <w:rsid w:val="00C53A9B"/>
    <w:rsid w:val="BFCB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ind w:firstLine="0" w:firstLineChars="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ind w:firstLine="0" w:firstLineChars="0"/>
      <w:outlineLvl w:val="1"/>
    </w:pPr>
    <w:rPr>
      <w:rFonts w:cstheme="majorBidi"/>
      <w:b/>
      <w:bCs/>
      <w:sz w:val="28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paragraph" w:styleId="5">
    <w:name w:val="Title"/>
    <w:basedOn w:val="1"/>
    <w:next w:val="1"/>
    <w:link w:val="9"/>
    <w:qFormat/>
    <w:uiPriority w:val="10"/>
    <w:pPr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仿宋"/>
      <w:b/>
      <w:bCs/>
      <w:kern w:val="44"/>
      <w:sz w:val="30"/>
      <w:szCs w:val="44"/>
    </w:rPr>
  </w:style>
  <w:style w:type="character" w:customStyle="1" w:styleId="9">
    <w:name w:val="标题 字符"/>
    <w:basedOn w:val="7"/>
    <w:link w:val="5"/>
    <w:qFormat/>
    <w:uiPriority w:val="10"/>
    <w:rPr>
      <w:rFonts w:ascii="Times New Roman" w:hAnsi="Times New Roman" w:eastAsia="仿宋" w:cstheme="majorBidi"/>
      <w:b/>
      <w:bCs/>
      <w:sz w:val="36"/>
      <w:szCs w:val="32"/>
    </w:rPr>
  </w:style>
  <w:style w:type="character" w:customStyle="1" w:styleId="10">
    <w:name w:val="标题 2 字符"/>
    <w:basedOn w:val="7"/>
    <w:link w:val="3"/>
    <w:qFormat/>
    <w:uiPriority w:val="9"/>
    <w:rPr>
      <w:rFonts w:ascii="Times New Roman" w:hAnsi="Times New Roman" w:eastAsia="仿宋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724</Words>
  <Characters>4131</Characters>
  <Lines>34</Lines>
  <Paragraphs>9</Paragraphs>
  <TotalTime>215</TotalTime>
  <ScaleCrop>false</ScaleCrop>
  <LinksUpToDate>false</LinksUpToDate>
  <CharactersWithSpaces>4846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2024-01-19T11:39:00Z</dcterms:created>
  <dc:creator>LinYangzi</dc:creator>
  <cp:lastModifiedBy>小晓i</cp:lastModifiedBy>
  <cp:lastPrinted>2024-01-19T15:36:00Z</cp:lastPrinted>
  <dcterms:modified xsi:type="dcterms:W3CDTF">2024-01-25T16:24:20Z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9B0A43092A5C101AB41AB26578C153EF_42</vt:lpwstr>
  </property>
</Properties>
</file>